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794E" w14:textId="58DB703E" w:rsidR="00730E57" w:rsidRDefault="00730E57">
      <w:pPr>
        <w:rPr>
          <w:b/>
          <w:sz w:val="28"/>
          <w:szCs w:val="28"/>
        </w:rPr>
      </w:pPr>
    </w:p>
    <w:p w14:paraId="756DE286" w14:textId="77777777" w:rsidR="0044438F" w:rsidRDefault="0044438F">
      <w:pPr>
        <w:rPr>
          <w:b/>
          <w:sz w:val="28"/>
          <w:szCs w:val="28"/>
        </w:rPr>
      </w:pPr>
    </w:p>
    <w:p w14:paraId="5D3F70F0" w14:textId="77777777" w:rsidR="00730E57" w:rsidRDefault="0094268B" w:rsidP="008A2346">
      <w:pPr>
        <w:jc w:val="center"/>
        <w:rPr>
          <w:b/>
          <w:sz w:val="28"/>
          <w:szCs w:val="28"/>
        </w:rPr>
      </w:pPr>
      <w:r w:rsidRPr="0094268B">
        <w:rPr>
          <w:b/>
          <w:sz w:val="28"/>
          <w:szCs w:val="28"/>
        </w:rPr>
        <w:t>Ramblers Association North London &amp; South Herts Group</w:t>
      </w:r>
    </w:p>
    <w:p w14:paraId="65DC8B97" w14:textId="0A63C70F" w:rsidR="00B76C22" w:rsidRPr="0094268B" w:rsidRDefault="0094268B" w:rsidP="008A2346">
      <w:pPr>
        <w:jc w:val="center"/>
        <w:rPr>
          <w:b/>
          <w:sz w:val="28"/>
          <w:szCs w:val="28"/>
        </w:rPr>
      </w:pPr>
      <w:r w:rsidRPr="0094268B">
        <w:rPr>
          <w:b/>
          <w:sz w:val="28"/>
          <w:szCs w:val="28"/>
        </w:rPr>
        <w:t xml:space="preserve">Treasurer </w:t>
      </w:r>
      <w:r w:rsidR="0075304D" w:rsidRPr="0094268B">
        <w:rPr>
          <w:b/>
          <w:sz w:val="28"/>
          <w:szCs w:val="28"/>
        </w:rPr>
        <w:t xml:space="preserve">Report </w:t>
      </w:r>
      <w:r w:rsidR="00694CB8">
        <w:rPr>
          <w:b/>
          <w:sz w:val="28"/>
          <w:szCs w:val="28"/>
        </w:rPr>
        <w:t>20</w:t>
      </w:r>
      <w:r w:rsidR="00B61303">
        <w:rPr>
          <w:b/>
          <w:sz w:val="28"/>
          <w:szCs w:val="28"/>
        </w:rPr>
        <w:t>2</w:t>
      </w:r>
      <w:r w:rsidR="00DB782B">
        <w:rPr>
          <w:b/>
          <w:sz w:val="28"/>
          <w:szCs w:val="28"/>
        </w:rPr>
        <w:t>4</w:t>
      </w:r>
      <w:r w:rsidR="00694CB8">
        <w:rPr>
          <w:b/>
          <w:sz w:val="28"/>
          <w:szCs w:val="28"/>
        </w:rPr>
        <w:t>/2</w:t>
      </w:r>
      <w:r w:rsidR="00DB782B">
        <w:rPr>
          <w:b/>
          <w:sz w:val="28"/>
          <w:szCs w:val="28"/>
        </w:rPr>
        <w:t>5</w:t>
      </w:r>
    </w:p>
    <w:p w14:paraId="58E408FB" w14:textId="77777777" w:rsidR="00730E57" w:rsidRDefault="00730E57"/>
    <w:p w14:paraId="3F3958F4" w14:textId="47311700" w:rsidR="00506A7B" w:rsidRPr="000A5816" w:rsidRDefault="0094268B">
      <w:r w:rsidRPr="000A5816">
        <w:t xml:space="preserve">In the statement of financial activities for the year </w:t>
      </w:r>
      <w:r w:rsidR="00694CB8" w:rsidRPr="000A5816">
        <w:t>20</w:t>
      </w:r>
      <w:r w:rsidR="00B61303" w:rsidRPr="000A5816">
        <w:t>2</w:t>
      </w:r>
      <w:r w:rsidR="00DB782B">
        <w:t>4</w:t>
      </w:r>
      <w:r w:rsidR="00694CB8" w:rsidRPr="000A5816">
        <w:t>/2</w:t>
      </w:r>
      <w:r w:rsidR="00DB782B">
        <w:t>5</w:t>
      </w:r>
      <w:r w:rsidRPr="000A5816">
        <w:t>, the figures are compared to last year.</w:t>
      </w:r>
      <w:r w:rsidR="00506A7B" w:rsidRPr="000A5816">
        <w:t xml:space="preserve">  </w:t>
      </w:r>
    </w:p>
    <w:p w14:paraId="16166554" w14:textId="6C4450DC" w:rsidR="00506A7B" w:rsidRPr="0027515C" w:rsidRDefault="00506A7B">
      <w:r w:rsidRPr="0027515C">
        <w:t>The summary below explains the figures appearing in the account</w:t>
      </w:r>
      <w:r w:rsidR="00880E44" w:rsidRPr="0027515C">
        <w:t>s</w:t>
      </w:r>
      <w:r w:rsidRPr="0027515C">
        <w:t>:</w:t>
      </w:r>
    </w:p>
    <w:p w14:paraId="27F689A7" w14:textId="08520F4A" w:rsidR="0027515C" w:rsidRPr="0027515C" w:rsidRDefault="00506A7B" w:rsidP="00EA5681">
      <w:pPr>
        <w:pStyle w:val="ListParagraph"/>
        <w:numPr>
          <w:ilvl w:val="0"/>
          <w:numId w:val="1"/>
        </w:numPr>
        <w:ind w:left="360"/>
        <w:jc w:val="both"/>
      </w:pPr>
      <w:r w:rsidRPr="0027515C">
        <w:t xml:space="preserve">For </w:t>
      </w:r>
      <w:r w:rsidR="00715E2F" w:rsidRPr="0027515C">
        <w:t>202</w:t>
      </w:r>
      <w:r w:rsidR="00DB782B">
        <w:t>4</w:t>
      </w:r>
      <w:r w:rsidR="00694CB8" w:rsidRPr="0027515C">
        <w:t>/2</w:t>
      </w:r>
      <w:r w:rsidR="00DB782B">
        <w:t>5</w:t>
      </w:r>
      <w:r w:rsidRPr="0027515C">
        <w:t xml:space="preserve"> we </w:t>
      </w:r>
      <w:r w:rsidR="000A5816" w:rsidRPr="0027515C">
        <w:t xml:space="preserve">declined the allocation of funds from </w:t>
      </w:r>
      <w:r w:rsidR="00710083" w:rsidRPr="0027515C">
        <w:t xml:space="preserve">Group Funding </w:t>
      </w:r>
      <w:r w:rsidR="006330DD" w:rsidRPr="0027515C">
        <w:t xml:space="preserve">in respect </w:t>
      </w:r>
      <w:r w:rsidR="00ED21EC" w:rsidRPr="0027515C">
        <w:t>of our members</w:t>
      </w:r>
      <w:r w:rsidR="006330DD" w:rsidRPr="0027515C">
        <w:t>hip</w:t>
      </w:r>
      <w:r w:rsidR="00B76C22" w:rsidRPr="0027515C">
        <w:t xml:space="preserve">.  </w:t>
      </w:r>
      <w:r w:rsidR="000A5816" w:rsidRPr="0027515C">
        <w:t>The recommendation is that the allocation is not accepted where the reserves of the group represent more than one year’s expenditure.</w:t>
      </w:r>
    </w:p>
    <w:p w14:paraId="743A1570" w14:textId="1DF9EF33" w:rsidR="00D44E50" w:rsidRPr="0027515C" w:rsidRDefault="00F75E20" w:rsidP="00EA5681">
      <w:pPr>
        <w:pStyle w:val="ListParagraph"/>
        <w:ind w:left="360"/>
        <w:jc w:val="both"/>
      </w:pPr>
      <w:r w:rsidRPr="0027515C">
        <w:t xml:space="preserve">The </w:t>
      </w:r>
      <w:r w:rsidR="00880E44" w:rsidRPr="0027515C">
        <w:t>main</w:t>
      </w:r>
      <w:r w:rsidRPr="0027515C">
        <w:t xml:space="preserve"> costs </w:t>
      </w:r>
      <w:r w:rsidR="0027515C" w:rsidRPr="0027515C">
        <w:t xml:space="preserve">in the year </w:t>
      </w:r>
      <w:r w:rsidRPr="0027515C">
        <w:t xml:space="preserve">were </w:t>
      </w:r>
      <w:r w:rsidR="0027515C" w:rsidRPr="0027515C">
        <w:t xml:space="preserve">in respect of the </w:t>
      </w:r>
      <w:r w:rsidRPr="0027515C">
        <w:t>produc</w:t>
      </w:r>
      <w:r w:rsidR="0027515C" w:rsidRPr="0027515C">
        <w:t>tion</w:t>
      </w:r>
      <w:r w:rsidRPr="0027515C">
        <w:t xml:space="preserve"> and posting </w:t>
      </w:r>
      <w:r w:rsidR="0027515C" w:rsidRPr="0027515C">
        <w:t xml:space="preserve">of </w:t>
      </w:r>
      <w:r w:rsidRPr="0027515C">
        <w:t xml:space="preserve">the </w:t>
      </w:r>
      <w:r w:rsidR="00694CB8" w:rsidRPr="0027515C">
        <w:t>Newsletter</w:t>
      </w:r>
      <w:r w:rsidR="00341415" w:rsidRPr="0027515C">
        <w:t>s</w:t>
      </w:r>
      <w:r w:rsidRPr="0027515C">
        <w:t>.</w:t>
      </w:r>
    </w:p>
    <w:p w14:paraId="7355664A" w14:textId="77777777" w:rsidR="00F75E20" w:rsidRPr="00376651" w:rsidRDefault="00F75E20" w:rsidP="00F75E20">
      <w:pPr>
        <w:pStyle w:val="ListParagraph"/>
        <w:ind w:left="360"/>
        <w:rPr>
          <w:highlight w:val="yellow"/>
        </w:rPr>
      </w:pPr>
    </w:p>
    <w:p w14:paraId="2E4227C9" w14:textId="4FDD1169" w:rsidR="002E667D" w:rsidRPr="0027515C" w:rsidRDefault="00506A7B" w:rsidP="00737E1B">
      <w:pPr>
        <w:pStyle w:val="ListParagraph"/>
        <w:numPr>
          <w:ilvl w:val="0"/>
          <w:numId w:val="1"/>
        </w:numPr>
        <w:spacing w:after="0"/>
        <w:ind w:left="360"/>
        <w:jc w:val="both"/>
      </w:pPr>
      <w:r w:rsidRPr="0027515C">
        <w:t>For each group member going on a Ramblers Holiday the Group receives a</w:t>
      </w:r>
      <w:r w:rsidR="00D10C94" w:rsidRPr="0027515C">
        <w:t xml:space="preserve"> commission</w:t>
      </w:r>
      <w:r w:rsidRPr="0027515C">
        <w:t xml:space="preserve"> payment</w:t>
      </w:r>
      <w:r w:rsidR="004E2118" w:rsidRPr="0027515C">
        <w:t>,</w:t>
      </w:r>
      <w:r w:rsidRPr="0027515C">
        <w:t xml:space="preserve"> </w:t>
      </w:r>
      <w:r w:rsidR="00B76C22" w:rsidRPr="0027515C">
        <w:t>providing the group reference code of HF04 is quoted at the time of booking</w:t>
      </w:r>
      <w:r w:rsidRPr="0027515C">
        <w:t>.</w:t>
      </w:r>
      <w:r w:rsidR="00B76C22" w:rsidRPr="0027515C">
        <w:t xml:space="preserve">  </w:t>
      </w:r>
      <w:r w:rsidR="006330DD" w:rsidRPr="0027515C">
        <w:t>Please</w:t>
      </w:r>
      <w:r w:rsidR="00B76C22" w:rsidRPr="0027515C">
        <w:t xml:space="preserve"> </w:t>
      </w:r>
      <w:r w:rsidR="00D10C94" w:rsidRPr="0027515C">
        <w:t xml:space="preserve">remember to do </w:t>
      </w:r>
      <w:r w:rsidR="00907F84" w:rsidRPr="0027515C">
        <w:t>this,</w:t>
      </w:r>
      <w:r w:rsidR="00D10C94" w:rsidRPr="0027515C">
        <w:t xml:space="preserve"> and we hope </w:t>
      </w:r>
      <w:r w:rsidR="004E2118" w:rsidRPr="0027515C">
        <w:t xml:space="preserve">you </w:t>
      </w:r>
      <w:r w:rsidR="00D10C94" w:rsidRPr="0027515C">
        <w:t xml:space="preserve">enjoy the wide variety of holidays </w:t>
      </w:r>
      <w:r w:rsidR="006330DD" w:rsidRPr="0027515C">
        <w:t>available</w:t>
      </w:r>
      <w:r w:rsidR="00D10C94" w:rsidRPr="0027515C">
        <w:t>.</w:t>
      </w:r>
      <w:r w:rsidR="0027515C">
        <w:t xml:space="preserve">  This generated £</w:t>
      </w:r>
      <w:r w:rsidR="00813CFB">
        <w:t>550</w:t>
      </w:r>
      <w:r w:rsidR="0027515C">
        <w:t xml:space="preserve"> commission </w:t>
      </w:r>
      <w:r w:rsidR="007C4F9F">
        <w:t>in the</w:t>
      </w:r>
      <w:r w:rsidR="0027515C">
        <w:t xml:space="preserve"> year.</w:t>
      </w:r>
    </w:p>
    <w:p w14:paraId="3AFD0A15" w14:textId="77777777" w:rsidR="002E667D" w:rsidRPr="0027515C" w:rsidRDefault="002E667D" w:rsidP="002E667D">
      <w:pPr>
        <w:spacing w:after="0"/>
      </w:pPr>
    </w:p>
    <w:p w14:paraId="1878AD16" w14:textId="592A8F33" w:rsidR="002E667D" w:rsidRPr="0027515C" w:rsidRDefault="00844AB9" w:rsidP="00371688">
      <w:pPr>
        <w:pStyle w:val="ListParagraph"/>
        <w:numPr>
          <w:ilvl w:val="0"/>
          <w:numId w:val="1"/>
        </w:numPr>
        <w:spacing w:after="0"/>
        <w:ind w:left="360"/>
        <w:jc w:val="both"/>
      </w:pPr>
      <w:r w:rsidRPr="0027515C">
        <w:t>We continue to try and save costs by sending out the newsletter by email rather than incurring the additional cost</w:t>
      </w:r>
      <w:r w:rsidR="008D1700" w:rsidRPr="0027515C">
        <w:t>s</w:t>
      </w:r>
      <w:r w:rsidRPr="0027515C">
        <w:t xml:space="preserve"> of postage, envelopes and </w:t>
      </w:r>
      <w:r w:rsidR="00907F84" w:rsidRPr="0027515C">
        <w:t>printed copies</w:t>
      </w:r>
      <w:r w:rsidRPr="0027515C">
        <w:t>.</w:t>
      </w:r>
      <w:r w:rsidR="008D1700" w:rsidRPr="0027515C">
        <w:t xml:space="preserve"> Please remember to give permission for the Ramblers to send the newsletter by email. </w:t>
      </w:r>
    </w:p>
    <w:p w14:paraId="6894D638" w14:textId="77777777" w:rsidR="002E667D" w:rsidRPr="00376651" w:rsidRDefault="002E667D" w:rsidP="002E667D">
      <w:pPr>
        <w:spacing w:after="0"/>
        <w:rPr>
          <w:highlight w:val="yellow"/>
        </w:rPr>
      </w:pPr>
    </w:p>
    <w:p w14:paraId="30EB0926" w14:textId="0D8C5C38" w:rsidR="00CF4A3E" w:rsidRPr="00813CFB" w:rsidRDefault="00367CEA" w:rsidP="00F0296A">
      <w:pPr>
        <w:pStyle w:val="ListParagraph"/>
        <w:numPr>
          <w:ilvl w:val="0"/>
          <w:numId w:val="1"/>
        </w:numPr>
        <w:ind w:left="360"/>
        <w:jc w:val="both"/>
        <w:rPr>
          <w:i/>
          <w:iCs/>
        </w:rPr>
      </w:pPr>
      <w:r>
        <w:t xml:space="preserve">This year </w:t>
      </w:r>
      <w:r w:rsidR="00430C53">
        <w:t>there were 2 train walks</w:t>
      </w:r>
      <w:r w:rsidR="00256061">
        <w:t>,</w:t>
      </w:r>
      <w:r w:rsidR="00DD60B5">
        <w:t xml:space="preserve"> </w:t>
      </w:r>
      <w:r w:rsidR="00B64FE2">
        <w:t xml:space="preserve">Windsor in May and Downe </w:t>
      </w:r>
      <w:r w:rsidR="00BE1AFD">
        <w:t>Village</w:t>
      </w:r>
      <w:r w:rsidR="00B64FE2">
        <w:t xml:space="preserve"> in </w:t>
      </w:r>
      <w:r w:rsidR="00883D14">
        <w:t xml:space="preserve">September. Other social events </w:t>
      </w:r>
      <w:r w:rsidR="00B26D8C">
        <w:t>included the post AGM Christmas Lunch in December 20</w:t>
      </w:r>
      <w:r w:rsidR="00906250">
        <w:t>24, a Spring Dinner at Cocorico</w:t>
      </w:r>
      <w:r w:rsidR="000D272C">
        <w:t xml:space="preserve">, </w:t>
      </w:r>
      <w:r w:rsidR="00021DCB">
        <w:t>Whetstone</w:t>
      </w:r>
      <w:r w:rsidR="000D272C">
        <w:t xml:space="preserve"> and a Walk Leaders lunch at the Duke of York, Barnet </w:t>
      </w:r>
      <w:r w:rsidR="00230E90" w:rsidRPr="00FD6AB4">
        <w:t>for current walk leaders</w:t>
      </w:r>
      <w:r w:rsidR="00230E90" w:rsidRPr="00813CFB">
        <w:rPr>
          <w:i/>
          <w:iCs/>
        </w:rPr>
        <w:t>.</w:t>
      </w:r>
    </w:p>
    <w:p w14:paraId="7258FE8F" w14:textId="77777777" w:rsidR="0027515C" w:rsidRPr="00376651" w:rsidRDefault="0027515C" w:rsidP="0027515C">
      <w:pPr>
        <w:pStyle w:val="ListParagraph"/>
        <w:ind w:left="360"/>
        <w:rPr>
          <w:highlight w:val="yellow"/>
        </w:rPr>
      </w:pPr>
    </w:p>
    <w:p w14:paraId="6E1E8BFE" w14:textId="6FF0904A" w:rsidR="00BB633A" w:rsidRPr="0027515C" w:rsidRDefault="00BB633A" w:rsidP="00F0296A">
      <w:pPr>
        <w:pStyle w:val="ListParagraph"/>
        <w:numPr>
          <w:ilvl w:val="0"/>
          <w:numId w:val="1"/>
        </w:numPr>
        <w:spacing w:after="240"/>
        <w:ind w:left="360"/>
        <w:jc w:val="both"/>
      </w:pPr>
      <w:r w:rsidRPr="0027515C">
        <w:t xml:space="preserve">The self-funded/social fund </w:t>
      </w:r>
      <w:r w:rsidR="002E26A6">
        <w:t>in</w:t>
      </w:r>
      <w:r w:rsidRPr="0027515C">
        <w:t>creased by £</w:t>
      </w:r>
      <w:r w:rsidR="00790AEF">
        <w:t>499</w:t>
      </w:r>
      <w:r w:rsidRPr="0027515C">
        <w:t xml:space="preserve"> to £</w:t>
      </w:r>
      <w:r w:rsidR="00790AEF">
        <w:t>4,355</w:t>
      </w:r>
      <w:r w:rsidRPr="0027515C">
        <w:t xml:space="preserve"> at the end of the year</w:t>
      </w:r>
      <w:r w:rsidR="00982A6B">
        <w:t xml:space="preserve">, </w:t>
      </w:r>
      <w:r w:rsidR="008E65D2">
        <w:t xml:space="preserve">however there are </w:t>
      </w:r>
      <w:r w:rsidR="00FB69CF">
        <w:t>prepayments</w:t>
      </w:r>
      <w:r w:rsidR="008E65D2">
        <w:t xml:space="preserve"> of £</w:t>
      </w:r>
      <w:r w:rsidR="00203E57">
        <w:t>1,500 i</w:t>
      </w:r>
      <w:r w:rsidR="00CD4A4A">
        <w:t>n respect of a holiday</w:t>
      </w:r>
      <w:r w:rsidR="005230CA">
        <w:t xml:space="preserve"> deposits</w:t>
      </w:r>
      <w:r w:rsidR="00CD4A4A">
        <w:t xml:space="preserve"> </w:t>
      </w:r>
      <w:r w:rsidR="005230CA">
        <w:t>for</w:t>
      </w:r>
      <w:r w:rsidR="000A02E4">
        <w:t xml:space="preserve"> the group holiday to </w:t>
      </w:r>
      <w:proofErr w:type="spellStart"/>
      <w:r w:rsidR="000A02E4">
        <w:t>Hassness</w:t>
      </w:r>
      <w:proofErr w:type="spellEnd"/>
      <w:r w:rsidR="000A02E4">
        <w:t xml:space="preserve"> </w:t>
      </w:r>
      <w:r w:rsidR="00CD4A4A">
        <w:t>in 202</w:t>
      </w:r>
      <w:r w:rsidR="004124AF">
        <w:t>6</w:t>
      </w:r>
      <w:r w:rsidR="00CD4A4A">
        <w:t xml:space="preserve"> and </w:t>
      </w:r>
      <w:r w:rsidR="005230CA">
        <w:t>£83 deposits</w:t>
      </w:r>
      <w:r w:rsidR="000A02E4">
        <w:t xml:space="preserve"> </w:t>
      </w:r>
      <w:r w:rsidR="00D52542">
        <w:t>for the Autumn dinner.</w:t>
      </w:r>
      <w:r w:rsidR="000A6C53">
        <w:t xml:space="preserve"> Therefore</w:t>
      </w:r>
      <w:r w:rsidR="002D6024">
        <w:t>,</w:t>
      </w:r>
      <w:r w:rsidR="000A6C53">
        <w:t xml:space="preserve"> the net </w:t>
      </w:r>
      <w:r w:rsidR="007F7C1F">
        <w:t xml:space="preserve">free </w:t>
      </w:r>
      <w:r w:rsidR="000A6C53">
        <w:t xml:space="preserve">balance </w:t>
      </w:r>
      <w:r w:rsidR="00F846C4">
        <w:t xml:space="preserve">at the </w:t>
      </w:r>
      <w:r w:rsidR="00C70B57">
        <w:t>year-end</w:t>
      </w:r>
      <w:r w:rsidR="00F846C4">
        <w:t xml:space="preserve"> w</w:t>
      </w:r>
      <w:r w:rsidR="007F7C1F">
        <w:t>as £</w:t>
      </w:r>
      <w:r w:rsidR="000E3AEA">
        <w:t>2,772</w:t>
      </w:r>
      <w:r w:rsidR="005C0BE2">
        <w:t xml:space="preserve"> (£</w:t>
      </w:r>
      <w:r w:rsidR="00D564F5">
        <w:t>318</w:t>
      </w:r>
      <w:r w:rsidR="005C0BE2">
        <w:t xml:space="preserve"> less </w:t>
      </w:r>
      <w:r w:rsidR="005E230C">
        <w:t>than last year)</w:t>
      </w:r>
      <w:r w:rsidRPr="0027515C">
        <w:t xml:space="preserve">. </w:t>
      </w:r>
      <w:r w:rsidR="00D5240A" w:rsidRPr="0027515C">
        <w:rPr>
          <w:rFonts w:eastAsia="Times New Roman" w:cs="Times New Roman"/>
          <w:color w:val="222222"/>
          <w:shd w:val="clear" w:color="auto" w:fill="FFFFFF"/>
        </w:rPr>
        <w:t xml:space="preserve"> </w:t>
      </w:r>
      <w:r w:rsidR="00B76C4C" w:rsidRPr="0027515C">
        <w:t>If anyone has any ideas for ways these funds could be used</w:t>
      </w:r>
      <w:r w:rsidR="000459C3" w:rsidRPr="0027515C">
        <w:t xml:space="preserve"> to support our members and to further the aims of the Ramblers Association</w:t>
      </w:r>
      <w:r w:rsidR="0097317E">
        <w:t>,</w:t>
      </w:r>
      <w:r w:rsidR="00B76C4C" w:rsidRPr="0027515C">
        <w:t xml:space="preserve"> please</w:t>
      </w:r>
      <w:r w:rsidR="002D6024">
        <w:t xml:space="preserve"> </w:t>
      </w:r>
      <w:r w:rsidR="0027515C">
        <w:t>contact a member of the committee</w:t>
      </w:r>
      <w:r w:rsidR="00B76C4C" w:rsidRPr="0027515C">
        <w:t>.</w:t>
      </w:r>
    </w:p>
    <w:p w14:paraId="29181399" w14:textId="70184511" w:rsidR="00BD1221" w:rsidRPr="00376651" w:rsidRDefault="00BD1221" w:rsidP="00BB633A">
      <w:pPr>
        <w:pStyle w:val="ListParagraph"/>
        <w:spacing w:after="240"/>
        <w:ind w:left="360"/>
        <w:rPr>
          <w:highlight w:val="yellow"/>
        </w:rPr>
      </w:pPr>
    </w:p>
    <w:p w14:paraId="75D19E63" w14:textId="27E505EC" w:rsidR="00F0296A" w:rsidRDefault="00D44E50" w:rsidP="00F4211B">
      <w:pPr>
        <w:pStyle w:val="ListParagraph"/>
        <w:numPr>
          <w:ilvl w:val="0"/>
          <w:numId w:val="1"/>
        </w:numPr>
        <w:ind w:left="360"/>
        <w:jc w:val="both"/>
      </w:pPr>
      <w:r w:rsidRPr="0027515C">
        <w:t xml:space="preserve">The General Fund bank balance </w:t>
      </w:r>
      <w:r w:rsidR="0027515C" w:rsidRPr="0027515C">
        <w:t>de</w:t>
      </w:r>
      <w:r w:rsidR="00B76C4C" w:rsidRPr="0027515C">
        <w:t>creased</w:t>
      </w:r>
      <w:r w:rsidRPr="0027515C">
        <w:t xml:space="preserve"> </w:t>
      </w:r>
      <w:r w:rsidR="00B76C4C" w:rsidRPr="0027515C">
        <w:t>by £</w:t>
      </w:r>
      <w:r w:rsidR="00475E65">
        <w:t>380</w:t>
      </w:r>
      <w:r w:rsidR="00B76C4C" w:rsidRPr="0027515C">
        <w:t xml:space="preserve"> to £</w:t>
      </w:r>
      <w:r w:rsidR="00915881">
        <w:t>273</w:t>
      </w:r>
      <w:r w:rsidR="0069385F" w:rsidRPr="0027515C">
        <w:t xml:space="preserve"> at year end</w:t>
      </w:r>
      <w:r w:rsidR="00B76C4C" w:rsidRPr="0027515C">
        <w:t>.</w:t>
      </w:r>
      <w:r w:rsidRPr="0027515C">
        <w:t xml:space="preserve"> </w:t>
      </w:r>
      <w:r w:rsidR="00B61303" w:rsidRPr="0027515C">
        <w:t xml:space="preserve"> </w:t>
      </w:r>
      <w:r w:rsidR="008800A8">
        <w:t xml:space="preserve">As this balance is </w:t>
      </w:r>
      <w:r w:rsidR="00D0499C">
        <w:t>too low</w:t>
      </w:r>
      <w:r w:rsidR="008800A8">
        <w:t xml:space="preserve"> to cover our </w:t>
      </w:r>
      <w:r w:rsidR="00CF510A">
        <w:t xml:space="preserve">expenses </w:t>
      </w:r>
      <w:r w:rsidR="00BD77F9">
        <w:t xml:space="preserve">next year, </w:t>
      </w:r>
      <w:r w:rsidR="00915881">
        <w:t xml:space="preserve">we </w:t>
      </w:r>
      <w:r w:rsidR="003E3D47">
        <w:t xml:space="preserve">have claimed our </w:t>
      </w:r>
      <w:r w:rsidR="003B524A">
        <w:t xml:space="preserve">allocation of </w:t>
      </w:r>
      <w:r w:rsidR="00085C02">
        <w:t>G</w:t>
      </w:r>
      <w:r w:rsidR="003B524A">
        <w:t xml:space="preserve">roup </w:t>
      </w:r>
      <w:r w:rsidR="00085C02">
        <w:t>F</w:t>
      </w:r>
      <w:r w:rsidR="003B524A">
        <w:t xml:space="preserve">unding </w:t>
      </w:r>
      <w:r w:rsidR="00B05BD1">
        <w:t>from Central Office</w:t>
      </w:r>
      <w:r w:rsidR="00CF510A">
        <w:t xml:space="preserve"> for 2025/26.</w:t>
      </w:r>
    </w:p>
    <w:p w14:paraId="6F644C57" w14:textId="77777777" w:rsidR="00F0296A" w:rsidRPr="0027515C" w:rsidRDefault="00F0296A" w:rsidP="00F0296A">
      <w:pPr>
        <w:pStyle w:val="ListParagraph"/>
        <w:ind w:left="360"/>
        <w:jc w:val="both"/>
      </w:pPr>
    </w:p>
    <w:p w14:paraId="1EF261A8" w14:textId="77777777" w:rsidR="00730E57" w:rsidRDefault="00730E57" w:rsidP="00730E57">
      <w:pPr>
        <w:spacing w:after="0"/>
        <w:jc w:val="center"/>
      </w:pPr>
      <w:r>
        <w:t>Treasurer</w:t>
      </w:r>
    </w:p>
    <w:p w14:paraId="53991D95" w14:textId="77777777" w:rsidR="00730E57" w:rsidRDefault="00730E57" w:rsidP="00730E57">
      <w:pPr>
        <w:spacing w:after="0"/>
        <w:jc w:val="center"/>
      </w:pPr>
      <w:r>
        <w:t>North London &amp; South Herts</w:t>
      </w:r>
      <w:r w:rsidR="00F92BC5">
        <w:t>,</w:t>
      </w:r>
    </w:p>
    <w:p w14:paraId="3410B5C5" w14:textId="365750C0" w:rsidR="0003641A" w:rsidRDefault="00B61303" w:rsidP="00730E57">
      <w:pPr>
        <w:spacing w:after="0"/>
        <w:jc w:val="center"/>
      </w:pPr>
      <w:r>
        <w:t>November</w:t>
      </w:r>
      <w:r w:rsidR="00F92BC5">
        <w:t xml:space="preserve"> </w:t>
      </w:r>
      <w:r w:rsidR="00715E2F">
        <w:t>202</w:t>
      </w:r>
      <w:r w:rsidR="00A52A03">
        <w:t>5</w:t>
      </w:r>
    </w:p>
    <w:p w14:paraId="042B1ADF" w14:textId="77777777" w:rsidR="0003641A" w:rsidRDefault="0003641A">
      <w:r>
        <w:br w:type="page"/>
      </w:r>
    </w:p>
    <w:tbl>
      <w:tblPr>
        <w:tblpPr w:leftFromText="180" w:rightFromText="180" w:tblpY="420"/>
        <w:tblW w:w="10764" w:type="dxa"/>
        <w:tblLook w:val="04A0" w:firstRow="1" w:lastRow="0" w:firstColumn="1" w:lastColumn="0" w:noHBand="0" w:noVBand="1"/>
      </w:tblPr>
      <w:tblGrid>
        <w:gridCol w:w="996"/>
        <w:gridCol w:w="1241"/>
        <w:gridCol w:w="1241"/>
        <w:gridCol w:w="276"/>
        <w:gridCol w:w="977"/>
        <w:gridCol w:w="2138"/>
        <w:gridCol w:w="276"/>
        <w:gridCol w:w="996"/>
        <w:gridCol w:w="1241"/>
        <w:gridCol w:w="1382"/>
      </w:tblGrid>
      <w:tr w:rsidR="00A011D4" w:rsidRPr="00A011D4" w14:paraId="72290CDB" w14:textId="77777777" w:rsidTr="00720E3A">
        <w:trPr>
          <w:trHeight w:val="401"/>
        </w:trPr>
        <w:tc>
          <w:tcPr>
            <w:tcW w:w="107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9F88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RANGE!A1:J44"/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Ramblers' Association - North London &amp; South Hertfordshire Group</w:t>
            </w:r>
            <w:bookmarkEnd w:id="0"/>
          </w:p>
        </w:tc>
      </w:tr>
      <w:tr w:rsidR="00A011D4" w:rsidRPr="00A011D4" w14:paraId="275C5818" w14:textId="77777777" w:rsidTr="00720E3A">
        <w:trPr>
          <w:trHeight w:val="401"/>
        </w:trPr>
        <w:tc>
          <w:tcPr>
            <w:tcW w:w="107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0F57" w14:textId="76ADEEB5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Treasurer's Report for the year ended 30 September 202</w:t>
            </w:r>
            <w:r w:rsidR="00A52A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A011D4" w:rsidRPr="00A011D4" w14:paraId="1C41AFFB" w14:textId="77777777" w:rsidTr="00720E3A">
        <w:trPr>
          <w:trHeight w:val="401"/>
        </w:trPr>
        <w:tc>
          <w:tcPr>
            <w:tcW w:w="107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623E" w14:textId="146E634E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Statement of financial activities for the Year Ended 30 September 202</w:t>
            </w:r>
            <w:r w:rsidR="00A52A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8D7656" w:rsidRPr="00A011D4" w14:paraId="1018BCF3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E04A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1E3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747D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9CC6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4F12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11AD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CCCD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A73B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60FE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2F5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CF" w:rsidRPr="00A011D4" w14:paraId="4FA9DEC5" w14:textId="77777777" w:rsidTr="00720E3A">
        <w:trPr>
          <w:trHeight w:val="283"/>
        </w:trPr>
        <w:tc>
          <w:tcPr>
            <w:tcW w:w="34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75BE" w14:textId="26E6AAC3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end 30 September 202</w:t>
            </w:r>
            <w:r w:rsidR="008A5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CE17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40EA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34E2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C740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B38C" w14:textId="1DB58668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end 30 September 202</w:t>
            </w:r>
            <w:r w:rsidR="00A52A0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8D7656" w:rsidRPr="00A011D4" w14:paraId="77D9436E" w14:textId="77777777" w:rsidTr="00720E3A">
        <w:trPr>
          <w:trHeight w:val="57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40E66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General Funds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928EF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Self Funded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4366A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82EF7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E84E2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CB30E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E21F0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8C5C9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General Funds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88271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Self Funded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0FB65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8D7656" w:rsidRPr="00A011D4" w14:paraId="3EB11C94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C8D2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15DA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5D0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5953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D145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1152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34AF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D266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6F10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BB1D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EE630F" w:rsidRPr="00A011D4" w14:paraId="5D6E2B18" w14:textId="77777777" w:rsidTr="00720E3A">
        <w:trPr>
          <w:trHeight w:val="30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39D3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2840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580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5675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A0DD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Incoming Resources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40BC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4F46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2E9B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EC04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630F" w:rsidRPr="00A011D4" w14:paraId="64056941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2928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E3E3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34B7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FB43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2EAE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Funding received from Area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8DEC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5FDD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85EA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39AD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</w:tr>
      <w:tr w:rsidR="008D7656" w:rsidRPr="00A011D4" w14:paraId="682F1FBD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C06D" w14:textId="77777777" w:rsidR="00A011D4" w:rsidRPr="00A011D4" w:rsidRDefault="00A011D4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D8F6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429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249C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6BF6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7670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77C3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3BD8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BCAA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8E84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E630F" w:rsidRPr="00A011D4" w14:paraId="001C4322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81EE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735B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597B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7AFB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CAF9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Coach Walks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797E" w14:textId="77777777" w:rsidR="00A011D4" w:rsidRPr="00A011D4" w:rsidRDefault="00A011D4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91BE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FDFD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B631" w14:textId="77777777" w:rsidR="00A011D4" w:rsidRPr="00A011D4" w:rsidRDefault="00A011D4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621B" w:rsidRPr="00A011D4" w14:paraId="56896D9A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0DD9" w14:textId="77777777" w:rsidR="006B621B" w:rsidRPr="00A011D4" w:rsidRDefault="006B621B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14E7" w14:textId="2DCF32ED" w:rsidR="006B621B" w:rsidRPr="00A011D4" w:rsidRDefault="006B621B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6A654" w14:textId="0BC2E1AD" w:rsidR="006B621B" w:rsidRPr="00A011D4" w:rsidRDefault="006B621B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82B6E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B823" w14:textId="784245B0" w:rsidR="006B621B" w:rsidRPr="00A011D4" w:rsidRDefault="006B621B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FC79" w14:textId="77777777" w:rsidR="006B621B" w:rsidRPr="00A011D4" w:rsidRDefault="006B621B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54D8" w14:textId="77777777" w:rsidR="006B621B" w:rsidRPr="00A011D4" w:rsidRDefault="006B621B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Receipts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C6B9" w14:textId="77777777" w:rsidR="006B621B" w:rsidRPr="00A011D4" w:rsidRDefault="006B621B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8DEF" w14:textId="77777777" w:rsidR="006B621B" w:rsidRPr="00A011D4" w:rsidRDefault="006B621B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9E4DD" w14:textId="47B01F53" w:rsidR="006B621B" w:rsidRPr="00A011D4" w:rsidRDefault="006B621B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2,064.50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DC05C" w14:textId="71966F4A" w:rsidR="006B621B" w:rsidRPr="00A011D4" w:rsidRDefault="006B621B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2,064.50</w:t>
            </w:r>
          </w:p>
        </w:tc>
      </w:tr>
      <w:tr w:rsidR="006677BD" w:rsidRPr="00A011D4" w14:paraId="44497399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8129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0865" w14:textId="22A51A54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6B621B">
              <w:rPr>
                <w:rFonts w:ascii="Calibri" w:eastAsia="Times New Roman" w:hAnsi="Calibri" w:cs="Calibri"/>
                <w:color w:val="000000"/>
                <w:lang w:eastAsia="en-GB"/>
              </w:rPr>
              <w:t>766.60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BFF8" w14:textId="06D98384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6B621B">
              <w:rPr>
                <w:rFonts w:ascii="Calibri" w:eastAsia="Times New Roman" w:hAnsi="Calibri" w:cs="Calibri"/>
                <w:color w:val="000000"/>
                <w:lang w:eastAsia="en-GB"/>
              </w:rPr>
              <w:t>766.60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4630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903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F62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less expenses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ED88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4675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1DE5A" w14:textId="00D8B9BE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7252">
              <w:t>(</w:t>
            </w:r>
            <w:r>
              <w:t>1,416.52</w:t>
            </w:r>
            <w:r w:rsidRPr="00397252"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C1976" w14:textId="14E90F93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(1,416.52)</w:t>
            </w:r>
          </w:p>
        </w:tc>
      </w:tr>
      <w:tr w:rsidR="006677BD" w:rsidRPr="00A011D4" w14:paraId="2268B935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831B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8A6F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A62E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1517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0026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Holidays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A81E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5978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30E0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3EADF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663A0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77BD" w:rsidRPr="00A011D4" w14:paraId="62D97402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F60E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3BB8" w14:textId="0EA95136" w:rsidR="006677BD" w:rsidRPr="00A011D4" w:rsidRDefault="006B10F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  <w:r w:rsidR="006677BD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  <w:r w:rsidR="006677BD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EA5F" w14:textId="3D19423E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331FA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331FAD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00E6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4ED8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A5C4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Receipts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F5E5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13AE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CD61C" w14:textId="10A9A984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20,650.00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ED4E0" w14:textId="4B9FF51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20,650.00</w:t>
            </w:r>
          </w:p>
        </w:tc>
      </w:tr>
      <w:tr w:rsidR="006677BD" w:rsidRPr="00A011D4" w14:paraId="4ADD9F6C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5A60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F310" w14:textId="186C33E4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331FA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331FAD">
              <w:rPr>
                <w:rFonts w:ascii="Calibri" w:eastAsia="Times New Roman" w:hAnsi="Calibri" w:cs="Calibri"/>
                <w:color w:val="000000"/>
                <w:lang w:eastAsia="en-GB"/>
              </w:rPr>
              <w:t>255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6CA7" w14:textId="4FBF4ED9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(2</w:t>
            </w:r>
            <w:r w:rsidR="00331FA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9241B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2C274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9241B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1338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08F0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9E80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less expenses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80FF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9112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268F4" w14:textId="62644618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7252">
              <w:t>(20,</w:t>
            </w:r>
            <w:r>
              <w:t>400</w:t>
            </w:r>
            <w:r w:rsidRPr="00397252">
              <w:t>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15DEF" w14:textId="1E502DE2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(20,400.00)</w:t>
            </w:r>
          </w:p>
        </w:tc>
      </w:tr>
      <w:tr w:rsidR="006677BD" w:rsidRPr="00A011D4" w14:paraId="0A30F1A1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C6FB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4F5E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AE3B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C22F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5A1E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Social meals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10F6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5B9A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D932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21A1F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77BD" w:rsidRPr="00A011D4" w14:paraId="5DEA363C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6337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F185" w14:textId="49598324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1,</w:t>
            </w:r>
            <w:r w:rsidR="009241B3">
              <w:rPr>
                <w:rFonts w:ascii="Calibri" w:eastAsia="Times New Roman" w:hAnsi="Calibri" w:cs="Calibri"/>
                <w:color w:val="000000"/>
                <w:lang w:eastAsia="en-GB"/>
              </w:rPr>
              <w:t>638.50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7287" w14:textId="67EB4C6B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1,</w:t>
            </w:r>
            <w:r w:rsidR="00487A2F">
              <w:rPr>
                <w:rFonts w:ascii="Calibri" w:eastAsia="Times New Roman" w:hAnsi="Calibri" w:cs="Calibri"/>
                <w:color w:val="000000"/>
                <w:lang w:eastAsia="en-GB"/>
              </w:rPr>
              <w:t>638.50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7E81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166C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F4F1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Receipts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94E0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0841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865E7" w14:textId="14718878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7252">
              <w:t>1,</w:t>
            </w:r>
            <w:r>
              <w:t>823.21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A22E9" w14:textId="76C595AA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1,823.21</w:t>
            </w:r>
          </w:p>
        </w:tc>
      </w:tr>
      <w:tr w:rsidR="006677BD" w:rsidRPr="00A011D4" w14:paraId="19FB6C72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83B8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2793" w14:textId="22559205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461.5</w:t>
            </w:r>
            <w:r w:rsidR="00487A2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0474" w14:textId="2F177D5B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461</w:t>
            </w:r>
            <w:r w:rsidR="00487A2F">
              <w:rPr>
                <w:rFonts w:ascii="Calibri" w:eastAsia="Times New Roman" w:hAnsi="Calibri" w:cs="Calibri"/>
                <w:color w:val="000000"/>
                <w:lang w:eastAsia="en-GB"/>
              </w:rPr>
              <w:t>.50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85A5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AEC" w14:textId="77777777" w:rsidR="006677BD" w:rsidRPr="00A011D4" w:rsidRDefault="006677BD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53BA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less expenses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C0F0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A422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28A3D" w14:textId="36B946C6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7252">
              <w:t>(1,</w:t>
            </w:r>
            <w:r>
              <w:t>874.83</w:t>
            </w:r>
            <w:r w:rsidRPr="00397252"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E107C" w14:textId="7A7DF2F0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657E">
              <w:t>(1,874.83)</w:t>
            </w:r>
          </w:p>
        </w:tc>
      </w:tr>
      <w:tr w:rsidR="006677BD" w:rsidRPr="00A011D4" w14:paraId="329A5317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0D94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E17F" w14:textId="19DF04BF" w:rsidR="006677BD" w:rsidRPr="00A011D4" w:rsidRDefault="00E03246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550</w:t>
            </w:r>
            <w:r w:rsidR="006677BD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B334" w14:textId="59134CE5" w:rsidR="006677BD" w:rsidRPr="00A011D4" w:rsidRDefault="00E03246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550</w:t>
            </w:r>
            <w:r w:rsidR="006677BD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BA6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7F83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Other Income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A71E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24A2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22B5" w14:textId="62495A30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410.00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25B02" w14:textId="368087E0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410</w:t>
            </w:r>
            <w:r w:rsidRPr="00397252">
              <w:t>.00</w:t>
            </w:r>
          </w:p>
        </w:tc>
      </w:tr>
      <w:tr w:rsidR="006677BD" w:rsidRPr="00A011D4" w14:paraId="67CB6F5B" w14:textId="77777777" w:rsidTr="00720E3A">
        <w:trPr>
          <w:trHeight w:val="283"/>
        </w:trPr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25A77" w14:textId="1A4D3ED2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 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58183" w14:textId="5D1C19B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1,2</w:t>
            </w:r>
            <w:r w:rsidR="00EE225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AB3BB3">
              <w:rPr>
                <w:rFonts w:ascii="Calibri" w:eastAsia="Times New Roman" w:hAnsi="Calibri" w:cs="Calibri"/>
                <w:color w:val="000000"/>
                <w:lang w:eastAsia="en-GB"/>
              </w:rPr>
              <w:t>0.40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66937" w14:textId="6AE9B89E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1,2</w:t>
            </w:r>
            <w:r w:rsidR="00DA358F">
              <w:rPr>
                <w:rFonts w:ascii="Calibri" w:eastAsia="Times New Roman" w:hAnsi="Calibri" w:cs="Calibri"/>
                <w:color w:val="000000"/>
                <w:lang w:eastAsia="en-GB"/>
              </w:rPr>
              <w:t>10.40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28BD" w14:textId="77777777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B89F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Total Incoming Resources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7D0E" w14:textId="77777777" w:rsidR="006677BD" w:rsidRPr="00A011D4" w:rsidRDefault="006677BD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F855D" w14:textId="77777777" w:rsidR="006677BD" w:rsidRPr="00A011D4" w:rsidRDefault="006677BD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BFD40" w14:textId="505B7BE1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1,256.36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3F707E" w14:textId="04C6DEBB" w:rsidR="006677BD" w:rsidRPr="00A011D4" w:rsidRDefault="006677B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1,256.36</w:t>
            </w:r>
          </w:p>
        </w:tc>
      </w:tr>
      <w:tr w:rsidR="00A52A03" w:rsidRPr="00A011D4" w14:paraId="2B632B3B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F13F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A2AD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A7CE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7C53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6AFA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9EC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4890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87B0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60CD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79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14B058D3" w14:textId="77777777" w:rsidTr="00720E3A">
        <w:trPr>
          <w:trHeight w:val="30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3753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2A2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843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2973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F2F9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Resources Expended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1E44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C815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9C0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AC0D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6DD8304E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51EC" w14:textId="798FDFC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D21B38">
              <w:rPr>
                <w:rFonts w:ascii="Calibri" w:eastAsia="Times New Roman" w:hAnsi="Calibri" w:cs="Calibri"/>
                <w:color w:val="000000"/>
                <w:lang w:eastAsia="en-GB"/>
              </w:rPr>
              <w:t>343.89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9836" w14:textId="1DA2C2C7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226A" w14:textId="339213C3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D21B38">
              <w:rPr>
                <w:rFonts w:ascii="Calibri" w:eastAsia="Times New Roman" w:hAnsi="Calibri" w:cs="Calibri"/>
                <w:color w:val="000000"/>
                <w:lang w:eastAsia="en-GB"/>
              </w:rPr>
              <w:t>343.89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0B55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9904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Newsletter/publicity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FD4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42588" w14:textId="6952D6E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5D3469">
              <w:t>229.63</w:t>
            </w:r>
            <w:r w:rsidRPr="007031F8"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0B11D" w14:textId="3780D91C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79626" w14:textId="7D6E482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5D3469">
              <w:t>229.63</w:t>
            </w:r>
            <w:r w:rsidRPr="007031F8">
              <w:t>)</w:t>
            </w:r>
          </w:p>
        </w:tc>
      </w:tr>
      <w:tr w:rsidR="00A52A03" w:rsidRPr="00A011D4" w14:paraId="6816F7F4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0DF5" w14:textId="305807C0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3FF4" w14:textId="0816FB20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4637" w14:textId="45A6598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.00)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65E7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120E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Walks Related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7355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67252" w14:textId="5DE86730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5D3469">
              <w:t>36</w:t>
            </w:r>
            <w:r w:rsidRPr="007031F8">
              <w:t>.00)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CA9F5" w14:textId="6515E9B4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0BA47" w14:textId="1E92E85B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5D3469">
              <w:t>36</w:t>
            </w:r>
            <w:r w:rsidRPr="007031F8">
              <w:t>.00)</w:t>
            </w:r>
          </w:p>
        </w:tc>
      </w:tr>
      <w:tr w:rsidR="00A52A03" w:rsidRPr="00A011D4" w14:paraId="448AE093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4B64" w14:textId="540CFCC8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2FEA" w14:textId="76C530A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1621" w14:textId="425E982C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959B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15D5" w14:textId="37390AB3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Leaders' </w:t>
            </w:r>
            <w:r w:rsidR="00C001CB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="00754CF9">
              <w:rPr>
                <w:rFonts w:ascii="Calibri" w:eastAsia="Times New Roman" w:hAnsi="Calibri" w:cs="Calibri"/>
                <w:color w:val="000000"/>
                <w:lang w:eastAsia="en-GB"/>
              </w:rPr>
              <w:t>unch / Tea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3A89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06F6A" w14:textId="74ACC241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F0C16" w14:textId="7A431938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4367EA">
              <w:t>530.00</w:t>
            </w:r>
            <w:r w:rsidRPr="007031F8"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F9098" w14:textId="7A2C1CF6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        </w:t>
            </w:r>
            <w:r w:rsidRPr="007031F8">
              <w:t>(</w:t>
            </w:r>
            <w:r w:rsidR="004367EA">
              <w:t>530.00</w:t>
            </w:r>
            <w:r w:rsidRPr="007031F8">
              <w:t>)</w:t>
            </w:r>
          </w:p>
        </w:tc>
      </w:tr>
      <w:tr w:rsidR="00A52A03" w:rsidRPr="00A011D4" w14:paraId="45E792AB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06F2" w14:textId="114A5834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34D3" w14:textId="117F015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645C" w14:textId="7832593E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1A4481">
              <w:rPr>
                <w:rFonts w:ascii="Calibri" w:eastAsia="Times New Roman" w:hAnsi="Calibri" w:cs="Calibri"/>
                <w:color w:val="000000"/>
                <w:lang w:eastAsia="en-GB"/>
              </w:rPr>
              <w:t>1.5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1DE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A053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Bank charges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5F5B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59D94F" w14:textId="22A52A55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28ED5" w14:textId="3199D1EF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4367EA">
              <w:t>4.5</w:t>
            </w:r>
            <w:r w:rsidRPr="007031F8">
              <w:t>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E40C6" w14:textId="77B9A615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4367EA">
              <w:t>4.5</w:t>
            </w:r>
            <w:r w:rsidRPr="007031F8">
              <w:t>0)</w:t>
            </w:r>
          </w:p>
        </w:tc>
      </w:tr>
      <w:tr w:rsidR="00A52A03" w:rsidRPr="00A011D4" w14:paraId="5436420E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8070" w14:textId="6C268AAB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2C1D" w14:textId="2C1D4BE6" w:rsidR="00A52A03" w:rsidRPr="00AF14BA" w:rsidRDefault="00A52A03" w:rsidP="00720E3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F14BA">
              <w:rPr>
                <w:rFonts w:eastAsia="Times New Roman" w:cstheme="minorHAnsi"/>
                <w:sz w:val="20"/>
                <w:szCs w:val="20"/>
                <w:lang w:eastAsia="en-GB"/>
              </w:rPr>
              <w:t>(1</w:t>
            </w:r>
            <w:r w:rsidR="009C4F0E">
              <w:rPr>
                <w:rFonts w:eastAsia="Times New Roman" w:cstheme="minorHAnsi"/>
                <w:sz w:val="20"/>
                <w:szCs w:val="20"/>
                <w:lang w:eastAsia="en-GB"/>
              </w:rPr>
              <w:t>50.0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5629" w14:textId="1B5E2546" w:rsidR="00A52A03" w:rsidRPr="00AF14BA" w:rsidRDefault="00A52A03" w:rsidP="00720E3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(1</w:t>
            </w:r>
            <w:r w:rsidR="009C4F0E">
              <w:rPr>
                <w:rFonts w:eastAsia="Times New Roman" w:cstheme="minorHAnsi"/>
                <w:sz w:val="20"/>
                <w:szCs w:val="20"/>
                <w:lang w:eastAsia="en-GB"/>
              </w:rPr>
              <w:t>50.0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4606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39EE" w14:textId="675A1790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Other Expenses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Room Hire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52EE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1246B" w14:textId="3555B5F4" w:rsidR="00A52A03" w:rsidRPr="00A011D4" w:rsidRDefault="0008435F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D9F1" w14:textId="728EFF41" w:rsidR="00A52A03" w:rsidRPr="00A011D4" w:rsidRDefault="004367E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367EA">
              <w:rPr>
                <w:rFonts w:ascii="Calibri" w:eastAsia="Times New Roman" w:hAnsi="Calibri" w:cs="Calibri"/>
                <w:color w:val="000000"/>
                <w:lang w:eastAsia="en-GB"/>
              </w:rPr>
              <w:t>(143.50)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BBE74" w14:textId="58859F41" w:rsidR="00A52A03" w:rsidRPr="00A011D4" w:rsidRDefault="004367E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367EA">
              <w:rPr>
                <w:rFonts w:ascii="Calibri" w:eastAsia="Times New Roman" w:hAnsi="Calibri" w:cs="Calibri"/>
                <w:color w:val="000000"/>
                <w:lang w:eastAsia="en-GB"/>
              </w:rPr>
              <w:t>(143.50)</w:t>
            </w:r>
          </w:p>
        </w:tc>
      </w:tr>
      <w:tr w:rsidR="00A52A03" w:rsidRPr="00A011D4" w14:paraId="1A2640DD" w14:textId="77777777" w:rsidTr="00720E3A">
        <w:trPr>
          <w:trHeight w:val="283"/>
        </w:trPr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0EBBA" w14:textId="5CF9B376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D21B38">
              <w:rPr>
                <w:rFonts w:ascii="Calibri" w:eastAsia="Times New Roman" w:hAnsi="Calibri" w:cs="Calibri"/>
                <w:color w:val="000000"/>
                <w:lang w:eastAsia="en-GB"/>
              </w:rPr>
              <w:t>379.89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013D8" w14:textId="4D5A8D59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B531F2">
              <w:rPr>
                <w:rFonts w:ascii="Calibri" w:eastAsia="Times New Roman" w:hAnsi="Calibri" w:cs="Calibri"/>
                <w:color w:val="000000"/>
                <w:lang w:eastAsia="en-GB"/>
              </w:rPr>
              <w:t>711.50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5EDB6" w14:textId="24C1865E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6E6E27">
              <w:rPr>
                <w:rFonts w:ascii="Calibri" w:eastAsia="Times New Roman" w:hAnsi="Calibri" w:cs="Calibri"/>
                <w:color w:val="000000"/>
                <w:lang w:eastAsia="en-GB"/>
              </w:rPr>
              <w:t>1,091.39)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00FD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A149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Outgoing Resources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29EA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4FC46B" w14:textId="73C6421D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4367EA">
              <w:t>265.63</w:t>
            </w:r>
            <w:r w:rsidRPr="007031F8"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2F2D44" w14:textId="05857FE0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4367EA">
              <w:t>678.00</w:t>
            </w:r>
            <w:r w:rsidRPr="007031F8"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E84EDC" w14:textId="2ED9936D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31F8">
              <w:t>(</w:t>
            </w:r>
            <w:r w:rsidR="008D5F6D">
              <w:t>943.63</w:t>
            </w:r>
            <w:r w:rsidRPr="007031F8">
              <w:t>)</w:t>
            </w:r>
          </w:p>
        </w:tc>
      </w:tr>
      <w:tr w:rsidR="00A52A03" w:rsidRPr="00A011D4" w14:paraId="6951654E" w14:textId="77777777" w:rsidTr="00720E3A">
        <w:trPr>
          <w:trHeight w:val="658"/>
        </w:trPr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8932A56" w14:textId="027F1B2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D21B38">
              <w:rPr>
                <w:rFonts w:ascii="Calibri" w:eastAsia="Times New Roman" w:hAnsi="Calibri" w:cs="Calibri"/>
                <w:color w:val="000000"/>
                <w:lang w:eastAsia="en-GB"/>
              </w:rPr>
              <w:t>379.89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CC0D18" w14:textId="3F4C6F7D" w:rsidR="00A52A03" w:rsidRPr="00A011D4" w:rsidRDefault="00F17E5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498</w:t>
            </w:r>
            <w:r w:rsidR="00866104">
              <w:rPr>
                <w:rFonts w:ascii="Calibri" w:eastAsia="Times New Roman" w:hAnsi="Calibri" w:cs="Calibri"/>
                <w:color w:val="000000"/>
                <w:lang w:eastAsia="en-GB"/>
              </w:rPr>
              <w:t>.90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F1F221E" w14:textId="0DC5F14E" w:rsidR="00A52A03" w:rsidRPr="00A011D4" w:rsidRDefault="00DA358F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119.01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AEEB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7F34ED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Net Incoming (outgoing) resources for the year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E53D8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7649E1D6" w14:textId="77777777" w:rsidR="00A52A03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183671A" w14:textId="34D0B7E1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8D5F6D">
              <w:rPr>
                <w:rFonts w:ascii="Calibri" w:eastAsia="Times New Roman" w:hAnsi="Calibri" w:cs="Calibri"/>
                <w:color w:val="000000"/>
                <w:lang w:eastAsia="en-GB"/>
              </w:rPr>
              <w:t>265.63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0EF623D3" w14:textId="77777777" w:rsidR="00A52A03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9171DEB" w14:textId="7886DCB4" w:rsidR="00A52A03" w:rsidRPr="00A011D4" w:rsidRDefault="008D5F6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578.36</w:t>
            </w:r>
          </w:p>
        </w:tc>
        <w:tc>
          <w:tcPr>
            <w:tcW w:w="138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5FE13263" w14:textId="77777777" w:rsidR="00A52A03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6E3B989" w14:textId="3A2AD883" w:rsidR="00A52A03" w:rsidRPr="00A011D4" w:rsidRDefault="008D5F6D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312.7</w:t>
            </w:r>
            <w:r w:rsidR="00A31C5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A52A03" w:rsidRPr="00A011D4" w14:paraId="77B0DEE0" w14:textId="77777777" w:rsidTr="00720E3A">
        <w:trPr>
          <w:trHeight w:val="31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4570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CD4D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E74E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572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64E2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E80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0C2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B88B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8E0E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75BE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72B95022" w14:textId="77777777" w:rsidTr="00720E3A">
        <w:trPr>
          <w:trHeight w:val="572"/>
        </w:trPr>
        <w:tc>
          <w:tcPr>
            <w:tcW w:w="3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323F2" w14:textId="16AFA3C5" w:rsidR="00A52A03" w:rsidRPr="00A011D4" w:rsidRDefault="00A52A03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Balance Sheet as at 30 September 202</w:t>
            </w:r>
            <w:r w:rsidR="00B622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6DC66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F498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4641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00D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776E6" w14:textId="6D9009A3" w:rsidR="00A52A03" w:rsidRPr="00A011D4" w:rsidRDefault="00A52A03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Balance Sheet as at 30 September 202</w:t>
            </w:r>
            <w:r w:rsidR="0094676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A52A03" w:rsidRPr="00A011D4" w14:paraId="1C1BB813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2ED9" w14:textId="77777777" w:rsidR="00A52A03" w:rsidRPr="00A011D4" w:rsidRDefault="00A52A03" w:rsidP="0072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1678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D90E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B14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87D4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93FB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ADF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D0C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29A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6FB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3CA70004" w14:textId="77777777" w:rsidTr="00720E3A">
        <w:trPr>
          <w:trHeight w:val="307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6187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73D4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423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11CA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50DE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Unrestricted Funds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305B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1FD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AD5B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80FC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676C" w:rsidRPr="00A011D4" w14:paraId="60E3545D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6354" w14:textId="08FE3819" w:rsidR="0094676C" w:rsidRPr="00A011D4" w:rsidRDefault="00FC7C4B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653.09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9177" w14:textId="4C9F1038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3,</w:t>
            </w:r>
            <w:r w:rsidR="00CB7002">
              <w:rPr>
                <w:rFonts w:ascii="Calibri" w:eastAsia="Times New Roman" w:hAnsi="Calibri" w:cs="Calibri"/>
                <w:color w:val="000000"/>
                <w:lang w:eastAsia="en-GB"/>
              </w:rPr>
              <w:t>856.78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571F" w14:textId="444A6B7B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E32478">
              <w:rPr>
                <w:rFonts w:ascii="Calibri" w:eastAsia="Times New Roman" w:hAnsi="Calibri" w:cs="Calibri"/>
                <w:color w:val="000000"/>
                <w:lang w:eastAsia="en-GB"/>
              </w:rPr>
              <w:t>509.87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38BF" w14:textId="77777777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D438" w14:textId="0D068EC7" w:rsidR="0094676C" w:rsidRPr="00A011D4" w:rsidRDefault="0094676C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Accumulated Income as at 1st October 202</w:t>
            </w:r>
            <w:r w:rsidR="00FC7C4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6A92" w14:textId="77777777" w:rsidR="0094676C" w:rsidRPr="00A011D4" w:rsidRDefault="0094676C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848CD" w14:textId="77777777" w:rsidR="0094676C" w:rsidRDefault="0094676C" w:rsidP="00720E3A">
            <w:pPr>
              <w:spacing w:after="0" w:line="240" w:lineRule="auto"/>
              <w:jc w:val="right"/>
            </w:pPr>
          </w:p>
          <w:p w14:paraId="08D73131" w14:textId="34D272BB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2F81">
              <w:t>918.72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E996" w14:textId="5670D00E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3,2</w:t>
            </w:r>
            <w:r w:rsidR="00B60F99">
              <w:rPr>
                <w:rFonts w:ascii="Calibri" w:eastAsia="Times New Roman" w:hAnsi="Calibri" w:cs="Calibri"/>
                <w:color w:val="000000"/>
                <w:lang w:eastAsia="en-GB"/>
              </w:rPr>
              <w:t>78.42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EF97" w14:textId="499C4F00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B60F99">
              <w:rPr>
                <w:rFonts w:ascii="Calibri" w:eastAsia="Times New Roman" w:hAnsi="Calibri" w:cs="Calibri"/>
                <w:color w:val="000000"/>
                <w:lang w:eastAsia="en-GB"/>
              </w:rPr>
              <w:t>197.14</w:t>
            </w:r>
          </w:p>
        </w:tc>
      </w:tr>
      <w:tr w:rsidR="0094676C" w:rsidRPr="00A011D4" w14:paraId="22460D14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4BD4" w14:textId="59073D57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FC7C4B">
              <w:rPr>
                <w:rFonts w:ascii="Calibri" w:eastAsia="Times New Roman" w:hAnsi="Calibri" w:cs="Calibri"/>
                <w:color w:val="000000"/>
                <w:lang w:eastAsia="en-GB"/>
              </w:rPr>
              <w:t>379.89</w:t>
            </w: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C7E8" w14:textId="2327E593" w:rsidR="0094676C" w:rsidRPr="00A011D4" w:rsidRDefault="00CB7002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498.90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B21F" w14:textId="0180EC32" w:rsidR="0094676C" w:rsidRPr="00A011D4" w:rsidRDefault="00E32478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119.01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3ADC" w14:textId="77777777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E8EF" w14:textId="77777777" w:rsidR="0094676C" w:rsidRPr="00A011D4" w:rsidRDefault="0094676C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Net incoming (outgoing) resources for the year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D896" w14:textId="77777777" w:rsidR="0094676C" w:rsidRPr="00A011D4" w:rsidRDefault="0094676C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DB370" w14:textId="77777777" w:rsidR="00B60F99" w:rsidRDefault="00B60F99" w:rsidP="00720E3A">
            <w:pPr>
              <w:spacing w:after="0" w:line="240" w:lineRule="auto"/>
              <w:jc w:val="right"/>
            </w:pPr>
          </w:p>
          <w:p w14:paraId="4D17E26F" w14:textId="17861AC5" w:rsidR="0094676C" w:rsidRPr="00A011D4" w:rsidRDefault="0094676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2F81">
              <w:t>(265.63)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A467" w14:textId="46E099E2" w:rsidR="0094676C" w:rsidRPr="00A011D4" w:rsidRDefault="00B60F99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578.36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C25C" w14:textId="06A07692" w:rsidR="0094676C" w:rsidRPr="00A011D4" w:rsidRDefault="00B60F99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312.73</w:t>
            </w:r>
          </w:p>
        </w:tc>
      </w:tr>
      <w:tr w:rsidR="00A52A03" w:rsidRPr="00A011D4" w14:paraId="0DF5204E" w14:textId="77777777" w:rsidTr="00720E3A">
        <w:trPr>
          <w:trHeight w:val="295"/>
        </w:trPr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47080F1" w14:textId="4D248A62" w:rsidR="00A52A03" w:rsidRPr="00A011D4" w:rsidRDefault="00FB67F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273.20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B0FA519" w14:textId="1F342233" w:rsidR="00A52A03" w:rsidRPr="00A011D4" w:rsidRDefault="009A4C97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A52A03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355.68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23D7A30" w14:textId="139A3ACE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E32478">
              <w:rPr>
                <w:rFonts w:ascii="Calibri" w:eastAsia="Times New Roman" w:hAnsi="Calibri" w:cs="Calibri"/>
                <w:color w:val="000000"/>
                <w:lang w:eastAsia="en-GB"/>
              </w:rPr>
              <w:t>628.88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4F90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362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82A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30E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231223" w14:textId="6679EBB0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AD53D6">
              <w:rPr>
                <w:rFonts w:ascii="Calibri" w:eastAsia="Times New Roman" w:hAnsi="Calibri" w:cs="Calibri"/>
                <w:color w:val="000000"/>
                <w:lang w:eastAsia="en-GB"/>
              </w:rPr>
              <w:t>653.09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47B9FDB" w14:textId="64D29155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3,</w:t>
            </w:r>
            <w:r w:rsidR="00AD53D6">
              <w:rPr>
                <w:rFonts w:ascii="Calibri" w:eastAsia="Times New Roman" w:hAnsi="Calibri" w:cs="Calibri"/>
                <w:color w:val="000000"/>
                <w:lang w:eastAsia="en-GB"/>
              </w:rPr>
              <w:t>856.78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5B077E9" w14:textId="6FE40F83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AD53D6">
              <w:rPr>
                <w:rFonts w:ascii="Calibri" w:eastAsia="Times New Roman" w:hAnsi="Calibri" w:cs="Calibri"/>
                <w:color w:val="000000"/>
                <w:lang w:eastAsia="en-GB"/>
              </w:rPr>
              <w:t>509.87</w:t>
            </w:r>
          </w:p>
        </w:tc>
      </w:tr>
      <w:tr w:rsidR="00A52A03" w:rsidRPr="00A011D4" w14:paraId="443ABBD8" w14:textId="77777777" w:rsidTr="00720E3A">
        <w:trPr>
          <w:trHeight w:val="551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127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BD36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BBB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92C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DB58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Represented by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81A9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D6D4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8A30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381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6974771C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14E1" w14:textId="57D0B2C7" w:rsidR="00A52A03" w:rsidRPr="00A011D4" w:rsidRDefault="00FB67F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273.20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B330" w14:textId="75D8704D" w:rsidR="00A52A03" w:rsidRPr="00A011D4" w:rsidRDefault="00AB3E3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A52A03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355.68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FBCB" w14:textId="189AD2A5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B622B3">
              <w:rPr>
                <w:rFonts w:ascii="Calibri" w:eastAsia="Times New Roman" w:hAnsi="Calibri" w:cs="Calibri"/>
                <w:color w:val="000000"/>
                <w:lang w:eastAsia="en-GB"/>
              </w:rPr>
              <w:t>628.88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A643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3A93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Cash at Unity Trust Bank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D1E7" w14:textId="77777777" w:rsidR="00A52A03" w:rsidRPr="00A011D4" w:rsidRDefault="00A52A03" w:rsidP="0072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3CC0" w14:textId="0EBB90C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="00AD53D6">
              <w:rPr>
                <w:rFonts w:ascii="Calibri" w:eastAsia="Times New Roman" w:hAnsi="Calibri" w:cs="Calibri"/>
                <w:color w:val="000000"/>
                <w:lang w:eastAsia="en-GB"/>
              </w:rPr>
              <w:t>653.09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3D36" w14:textId="0A0A9543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3,</w:t>
            </w:r>
            <w:r w:rsidR="00253BF4">
              <w:rPr>
                <w:rFonts w:ascii="Calibri" w:eastAsia="Times New Roman" w:hAnsi="Calibri" w:cs="Calibri"/>
                <w:color w:val="000000"/>
                <w:lang w:eastAsia="en-GB"/>
              </w:rPr>
              <w:t>856.78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0194" w14:textId="52A1287B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253BF4">
              <w:rPr>
                <w:rFonts w:ascii="Calibri" w:eastAsia="Times New Roman" w:hAnsi="Calibri" w:cs="Calibri"/>
                <w:color w:val="000000"/>
                <w:lang w:eastAsia="en-GB"/>
              </w:rPr>
              <w:t>509.87</w:t>
            </w:r>
          </w:p>
        </w:tc>
      </w:tr>
      <w:tr w:rsidR="00A52A03" w:rsidRPr="00A011D4" w14:paraId="386F1622" w14:textId="77777777" w:rsidTr="00720E3A">
        <w:trPr>
          <w:trHeight w:val="283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6030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E450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807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3AC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2922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B75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9B6F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E3D0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916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28E1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52A03" w:rsidRPr="00A011D4" w14:paraId="05EE253A" w14:textId="77777777" w:rsidTr="00720E3A">
        <w:trPr>
          <w:trHeight w:val="295"/>
        </w:trPr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8B0DA64" w14:textId="3DC43DD2" w:rsidR="00A52A03" w:rsidRPr="00A011D4" w:rsidRDefault="00FB67FA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273.20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3B6DF1B" w14:textId="354F249B" w:rsidR="00A52A03" w:rsidRPr="00A011D4" w:rsidRDefault="00AB3E3C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A52A03"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355.68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99F22A" w14:textId="015D5CA2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B622B3">
              <w:rPr>
                <w:rFonts w:ascii="Calibri" w:eastAsia="Times New Roman" w:hAnsi="Calibri" w:cs="Calibri"/>
                <w:color w:val="000000"/>
                <w:lang w:eastAsia="en-GB"/>
              </w:rPr>
              <w:t>628.88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098E" w14:textId="77777777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4D53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4099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E015" w14:textId="77777777" w:rsidR="00A52A03" w:rsidRPr="00A011D4" w:rsidRDefault="00A52A03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9416FCE" w14:textId="36BCA990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="00AD53D6">
              <w:rPr>
                <w:rFonts w:ascii="Calibri" w:eastAsia="Times New Roman" w:hAnsi="Calibri" w:cs="Calibri"/>
                <w:color w:val="000000"/>
                <w:lang w:eastAsia="en-GB"/>
              </w:rPr>
              <w:t>653.09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E6AF412" w14:textId="6E636CFF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3,</w:t>
            </w:r>
            <w:r w:rsidR="00253BF4">
              <w:rPr>
                <w:rFonts w:ascii="Calibri" w:eastAsia="Times New Roman" w:hAnsi="Calibri" w:cs="Calibri"/>
                <w:color w:val="000000"/>
                <w:lang w:eastAsia="en-GB"/>
              </w:rPr>
              <w:t>856.78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8224641" w14:textId="3E6E3645" w:rsidR="00A52A03" w:rsidRPr="00A011D4" w:rsidRDefault="00A52A03" w:rsidP="00720E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011D4">
              <w:rPr>
                <w:rFonts w:ascii="Calibri" w:eastAsia="Times New Roman" w:hAnsi="Calibri" w:cs="Calibri"/>
                <w:color w:val="000000"/>
                <w:lang w:eastAsia="en-GB"/>
              </w:rPr>
              <w:t>4,</w:t>
            </w:r>
            <w:r w:rsidR="00253BF4">
              <w:rPr>
                <w:rFonts w:ascii="Calibri" w:eastAsia="Times New Roman" w:hAnsi="Calibri" w:cs="Calibri"/>
                <w:color w:val="000000"/>
                <w:lang w:eastAsia="en-GB"/>
              </w:rPr>
              <w:t>509.87</w:t>
            </w:r>
          </w:p>
        </w:tc>
      </w:tr>
    </w:tbl>
    <w:p w14:paraId="66373C69" w14:textId="0080184A" w:rsidR="00D44E50" w:rsidRDefault="00D44E50" w:rsidP="00730E57">
      <w:pPr>
        <w:spacing w:after="0"/>
        <w:jc w:val="center"/>
      </w:pPr>
    </w:p>
    <w:sectPr w:rsidR="00D44E50" w:rsidSect="005A7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1CA1"/>
    <w:multiLevelType w:val="hybridMultilevel"/>
    <w:tmpl w:val="003E9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7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8B"/>
    <w:rsid w:val="00002252"/>
    <w:rsid w:val="00007E72"/>
    <w:rsid w:val="00020D09"/>
    <w:rsid w:val="00021DCB"/>
    <w:rsid w:val="00033737"/>
    <w:rsid w:val="0003641A"/>
    <w:rsid w:val="00041842"/>
    <w:rsid w:val="000459C3"/>
    <w:rsid w:val="00060C34"/>
    <w:rsid w:val="00062F33"/>
    <w:rsid w:val="00066793"/>
    <w:rsid w:val="000712E8"/>
    <w:rsid w:val="00075312"/>
    <w:rsid w:val="00080978"/>
    <w:rsid w:val="0008435F"/>
    <w:rsid w:val="00085C02"/>
    <w:rsid w:val="00086889"/>
    <w:rsid w:val="00091458"/>
    <w:rsid w:val="000975E4"/>
    <w:rsid w:val="000A02E4"/>
    <w:rsid w:val="000A5816"/>
    <w:rsid w:val="000A6C53"/>
    <w:rsid w:val="000C2AF6"/>
    <w:rsid w:val="000D272C"/>
    <w:rsid w:val="000E26B2"/>
    <w:rsid w:val="000E3AEA"/>
    <w:rsid w:val="000E7169"/>
    <w:rsid w:val="000F11BE"/>
    <w:rsid w:val="000F6193"/>
    <w:rsid w:val="00104BCB"/>
    <w:rsid w:val="00124505"/>
    <w:rsid w:val="00145012"/>
    <w:rsid w:val="00156F3D"/>
    <w:rsid w:val="00164CAF"/>
    <w:rsid w:val="00172D0A"/>
    <w:rsid w:val="00174389"/>
    <w:rsid w:val="00174C4D"/>
    <w:rsid w:val="00182457"/>
    <w:rsid w:val="00195434"/>
    <w:rsid w:val="001A055F"/>
    <w:rsid w:val="001A2C24"/>
    <w:rsid w:val="001A4481"/>
    <w:rsid w:val="001B43AE"/>
    <w:rsid w:val="001F76A9"/>
    <w:rsid w:val="00203E57"/>
    <w:rsid w:val="00230E90"/>
    <w:rsid w:val="00253BF4"/>
    <w:rsid w:val="00256061"/>
    <w:rsid w:val="0027515C"/>
    <w:rsid w:val="00275AF4"/>
    <w:rsid w:val="002945ED"/>
    <w:rsid w:val="0029513D"/>
    <w:rsid w:val="00296A12"/>
    <w:rsid w:val="002A119A"/>
    <w:rsid w:val="002C23C5"/>
    <w:rsid w:val="002C2744"/>
    <w:rsid w:val="002D3B47"/>
    <w:rsid w:val="002D6024"/>
    <w:rsid w:val="002E26A6"/>
    <w:rsid w:val="002E667D"/>
    <w:rsid w:val="002E7976"/>
    <w:rsid w:val="002F4304"/>
    <w:rsid w:val="00312CA4"/>
    <w:rsid w:val="0032698D"/>
    <w:rsid w:val="00331FAD"/>
    <w:rsid w:val="003406F5"/>
    <w:rsid w:val="00341415"/>
    <w:rsid w:val="00367CEA"/>
    <w:rsid w:val="00371688"/>
    <w:rsid w:val="00372191"/>
    <w:rsid w:val="00376651"/>
    <w:rsid w:val="0038588B"/>
    <w:rsid w:val="003A4684"/>
    <w:rsid w:val="003B524A"/>
    <w:rsid w:val="003C018C"/>
    <w:rsid w:val="003C6C4E"/>
    <w:rsid w:val="003D0151"/>
    <w:rsid w:val="003E3D47"/>
    <w:rsid w:val="003E56D9"/>
    <w:rsid w:val="003F6D45"/>
    <w:rsid w:val="004124AF"/>
    <w:rsid w:val="004256B6"/>
    <w:rsid w:val="00430C53"/>
    <w:rsid w:val="004367EA"/>
    <w:rsid w:val="0044438F"/>
    <w:rsid w:val="00444A1B"/>
    <w:rsid w:val="0045550F"/>
    <w:rsid w:val="00460CF6"/>
    <w:rsid w:val="00460D1A"/>
    <w:rsid w:val="00462B64"/>
    <w:rsid w:val="004664F1"/>
    <w:rsid w:val="00475E65"/>
    <w:rsid w:val="0048587F"/>
    <w:rsid w:val="00487A2F"/>
    <w:rsid w:val="00493231"/>
    <w:rsid w:val="00493A06"/>
    <w:rsid w:val="00493FCF"/>
    <w:rsid w:val="004964D8"/>
    <w:rsid w:val="004A2B42"/>
    <w:rsid w:val="004A5946"/>
    <w:rsid w:val="004E2118"/>
    <w:rsid w:val="004F1765"/>
    <w:rsid w:val="004F5DBE"/>
    <w:rsid w:val="004F6D42"/>
    <w:rsid w:val="0050186A"/>
    <w:rsid w:val="00506A7B"/>
    <w:rsid w:val="0051527C"/>
    <w:rsid w:val="00522295"/>
    <w:rsid w:val="005230CA"/>
    <w:rsid w:val="005657A2"/>
    <w:rsid w:val="00577997"/>
    <w:rsid w:val="00592F9C"/>
    <w:rsid w:val="005942A0"/>
    <w:rsid w:val="005A1B7D"/>
    <w:rsid w:val="005A35DB"/>
    <w:rsid w:val="005A3EDF"/>
    <w:rsid w:val="005A7A1A"/>
    <w:rsid w:val="005B59FF"/>
    <w:rsid w:val="005C0BE2"/>
    <w:rsid w:val="005C43F5"/>
    <w:rsid w:val="005D3469"/>
    <w:rsid w:val="005E230C"/>
    <w:rsid w:val="005E6FB2"/>
    <w:rsid w:val="005F6961"/>
    <w:rsid w:val="00602841"/>
    <w:rsid w:val="006107DC"/>
    <w:rsid w:val="00611130"/>
    <w:rsid w:val="0061616D"/>
    <w:rsid w:val="00624A06"/>
    <w:rsid w:val="006330DD"/>
    <w:rsid w:val="006358A0"/>
    <w:rsid w:val="00640E37"/>
    <w:rsid w:val="006448C0"/>
    <w:rsid w:val="00646C4C"/>
    <w:rsid w:val="0066040B"/>
    <w:rsid w:val="00660F7F"/>
    <w:rsid w:val="006677BD"/>
    <w:rsid w:val="0069385F"/>
    <w:rsid w:val="006941D9"/>
    <w:rsid w:val="00694875"/>
    <w:rsid w:val="00694CB8"/>
    <w:rsid w:val="006B10FC"/>
    <w:rsid w:val="006B5226"/>
    <w:rsid w:val="006B621B"/>
    <w:rsid w:val="006C5228"/>
    <w:rsid w:val="006D79D2"/>
    <w:rsid w:val="006E6E27"/>
    <w:rsid w:val="0070182E"/>
    <w:rsid w:val="00710083"/>
    <w:rsid w:val="00713C44"/>
    <w:rsid w:val="00715E2F"/>
    <w:rsid w:val="00720E3A"/>
    <w:rsid w:val="00730E57"/>
    <w:rsid w:val="00737E1B"/>
    <w:rsid w:val="0075304D"/>
    <w:rsid w:val="00754CF9"/>
    <w:rsid w:val="00762999"/>
    <w:rsid w:val="00767D3B"/>
    <w:rsid w:val="007745A4"/>
    <w:rsid w:val="0078572F"/>
    <w:rsid w:val="00790AEF"/>
    <w:rsid w:val="007A3D7E"/>
    <w:rsid w:val="007B1F90"/>
    <w:rsid w:val="007B4373"/>
    <w:rsid w:val="007C4F9F"/>
    <w:rsid w:val="007D1222"/>
    <w:rsid w:val="007F7C1F"/>
    <w:rsid w:val="00813CFB"/>
    <w:rsid w:val="008369A6"/>
    <w:rsid w:val="00844AB9"/>
    <w:rsid w:val="00863BBE"/>
    <w:rsid w:val="00866104"/>
    <w:rsid w:val="0087061C"/>
    <w:rsid w:val="008800A8"/>
    <w:rsid w:val="00880E44"/>
    <w:rsid w:val="00883D14"/>
    <w:rsid w:val="00891BE9"/>
    <w:rsid w:val="008A063E"/>
    <w:rsid w:val="008A2346"/>
    <w:rsid w:val="008A5E80"/>
    <w:rsid w:val="008C6438"/>
    <w:rsid w:val="008D0DB5"/>
    <w:rsid w:val="008D1700"/>
    <w:rsid w:val="008D4257"/>
    <w:rsid w:val="008D5F6D"/>
    <w:rsid w:val="008D7656"/>
    <w:rsid w:val="008E65D2"/>
    <w:rsid w:val="008F3706"/>
    <w:rsid w:val="00906250"/>
    <w:rsid w:val="00907F84"/>
    <w:rsid w:val="00915881"/>
    <w:rsid w:val="009241B3"/>
    <w:rsid w:val="009259F7"/>
    <w:rsid w:val="009267EA"/>
    <w:rsid w:val="009415C9"/>
    <w:rsid w:val="0094268B"/>
    <w:rsid w:val="00946765"/>
    <w:rsid w:val="0094676C"/>
    <w:rsid w:val="009665F2"/>
    <w:rsid w:val="0097317E"/>
    <w:rsid w:val="009775A1"/>
    <w:rsid w:val="00982A6B"/>
    <w:rsid w:val="00992A4F"/>
    <w:rsid w:val="009A4C97"/>
    <w:rsid w:val="009B03E6"/>
    <w:rsid w:val="009B6B6D"/>
    <w:rsid w:val="009C4F0E"/>
    <w:rsid w:val="009C4FB4"/>
    <w:rsid w:val="00A011D4"/>
    <w:rsid w:val="00A271BD"/>
    <w:rsid w:val="00A2735B"/>
    <w:rsid w:val="00A31C52"/>
    <w:rsid w:val="00A52A03"/>
    <w:rsid w:val="00A722A7"/>
    <w:rsid w:val="00A768AF"/>
    <w:rsid w:val="00A846D1"/>
    <w:rsid w:val="00AA76AE"/>
    <w:rsid w:val="00AA7CEB"/>
    <w:rsid w:val="00AB3BB3"/>
    <w:rsid w:val="00AB3E3C"/>
    <w:rsid w:val="00AC5A9C"/>
    <w:rsid w:val="00AC7D89"/>
    <w:rsid w:val="00AD53D6"/>
    <w:rsid w:val="00AE436A"/>
    <w:rsid w:val="00AE730A"/>
    <w:rsid w:val="00AF14BA"/>
    <w:rsid w:val="00B043E0"/>
    <w:rsid w:val="00B05BD1"/>
    <w:rsid w:val="00B26D8C"/>
    <w:rsid w:val="00B42C03"/>
    <w:rsid w:val="00B531F2"/>
    <w:rsid w:val="00B55740"/>
    <w:rsid w:val="00B60F99"/>
    <w:rsid w:val="00B61303"/>
    <w:rsid w:val="00B622B3"/>
    <w:rsid w:val="00B64FE2"/>
    <w:rsid w:val="00B76C22"/>
    <w:rsid w:val="00B76C4C"/>
    <w:rsid w:val="00B9615A"/>
    <w:rsid w:val="00BA19B0"/>
    <w:rsid w:val="00BB633A"/>
    <w:rsid w:val="00BD1221"/>
    <w:rsid w:val="00BD77F9"/>
    <w:rsid w:val="00BE1AFD"/>
    <w:rsid w:val="00BE5C7A"/>
    <w:rsid w:val="00C001CB"/>
    <w:rsid w:val="00C30324"/>
    <w:rsid w:val="00C372B3"/>
    <w:rsid w:val="00C41F19"/>
    <w:rsid w:val="00C65B98"/>
    <w:rsid w:val="00C70B57"/>
    <w:rsid w:val="00C77C53"/>
    <w:rsid w:val="00C92A5A"/>
    <w:rsid w:val="00C94451"/>
    <w:rsid w:val="00C94A13"/>
    <w:rsid w:val="00CA0AD2"/>
    <w:rsid w:val="00CB0826"/>
    <w:rsid w:val="00CB7002"/>
    <w:rsid w:val="00CB79B8"/>
    <w:rsid w:val="00CC5ADE"/>
    <w:rsid w:val="00CD4A4A"/>
    <w:rsid w:val="00CE24C1"/>
    <w:rsid w:val="00CF4A3E"/>
    <w:rsid w:val="00CF510A"/>
    <w:rsid w:val="00D0499C"/>
    <w:rsid w:val="00D07602"/>
    <w:rsid w:val="00D10C94"/>
    <w:rsid w:val="00D21B38"/>
    <w:rsid w:val="00D228F0"/>
    <w:rsid w:val="00D31008"/>
    <w:rsid w:val="00D44E50"/>
    <w:rsid w:val="00D47A88"/>
    <w:rsid w:val="00D5240A"/>
    <w:rsid w:val="00D52542"/>
    <w:rsid w:val="00D54861"/>
    <w:rsid w:val="00D55821"/>
    <w:rsid w:val="00D564F5"/>
    <w:rsid w:val="00D738F1"/>
    <w:rsid w:val="00D804F2"/>
    <w:rsid w:val="00D94627"/>
    <w:rsid w:val="00DA358F"/>
    <w:rsid w:val="00DB025E"/>
    <w:rsid w:val="00DB42D5"/>
    <w:rsid w:val="00DB55B8"/>
    <w:rsid w:val="00DB782B"/>
    <w:rsid w:val="00DC6EFF"/>
    <w:rsid w:val="00DD58E9"/>
    <w:rsid w:val="00DD60B5"/>
    <w:rsid w:val="00E03246"/>
    <w:rsid w:val="00E03A3C"/>
    <w:rsid w:val="00E161EB"/>
    <w:rsid w:val="00E227D1"/>
    <w:rsid w:val="00E32478"/>
    <w:rsid w:val="00E37F0F"/>
    <w:rsid w:val="00E41A37"/>
    <w:rsid w:val="00E6168B"/>
    <w:rsid w:val="00E62DF8"/>
    <w:rsid w:val="00E714A8"/>
    <w:rsid w:val="00E7361C"/>
    <w:rsid w:val="00E832FE"/>
    <w:rsid w:val="00E84BE3"/>
    <w:rsid w:val="00E87740"/>
    <w:rsid w:val="00EA5681"/>
    <w:rsid w:val="00EB1144"/>
    <w:rsid w:val="00EB1196"/>
    <w:rsid w:val="00EB6447"/>
    <w:rsid w:val="00EC2F55"/>
    <w:rsid w:val="00ED21EC"/>
    <w:rsid w:val="00EE2251"/>
    <w:rsid w:val="00EE630F"/>
    <w:rsid w:val="00F0296A"/>
    <w:rsid w:val="00F079E1"/>
    <w:rsid w:val="00F14281"/>
    <w:rsid w:val="00F17E5A"/>
    <w:rsid w:val="00F25192"/>
    <w:rsid w:val="00F541C3"/>
    <w:rsid w:val="00F709E0"/>
    <w:rsid w:val="00F75E20"/>
    <w:rsid w:val="00F778F5"/>
    <w:rsid w:val="00F81259"/>
    <w:rsid w:val="00F81AD1"/>
    <w:rsid w:val="00F846C4"/>
    <w:rsid w:val="00F92BC5"/>
    <w:rsid w:val="00F9313F"/>
    <w:rsid w:val="00FA458A"/>
    <w:rsid w:val="00FB0D77"/>
    <w:rsid w:val="00FB67FA"/>
    <w:rsid w:val="00FB69CF"/>
    <w:rsid w:val="00FC4EAC"/>
    <w:rsid w:val="00FC7C4B"/>
    <w:rsid w:val="00FD351A"/>
    <w:rsid w:val="00FD5122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AAF59"/>
  <w15:docId w15:val="{9859C55A-2EC5-4D73-BFB1-AB24EAF2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CD95-8C6E-674A-936B-CE018FEC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ScottJ</dc:creator>
  <cp:lastModifiedBy>Lucy Welch</cp:lastModifiedBy>
  <cp:revision>2</cp:revision>
  <cp:lastPrinted>2025-10-06T13:29:00Z</cp:lastPrinted>
  <dcterms:created xsi:type="dcterms:W3CDTF">2025-10-15T19:37:00Z</dcterms:created>
  <dcterms:modified xsi:type="dcterms:W3CDTF">2025-10-15T19:37:00Z</dcterms:modified>
</cp:coreProperties>
</file>